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15ECC" w14:textId="5FA3535C" w:rsidR="0033226B" w:rsidRDefault="0033226B" w:rsidP="0033226B">
      <w:pPr>
        <w:pStyle w:val="StandardWeb"/>
        <w:rPr>
          <w:color w:val="000000"/>
        </w:rPr>
      </w:pPr>
      <w:r>
        <w:rPr>
          <w:b/>
          <w:bCs/>
          <w:color w:val="000000"/>
        </w:rPr>
        <w:t>Landschappen van licht</w:t>
      </w:r>
      <w:r>
        <w:rPr>
          <w:color w:val="000000"/>
        </w:rPr>
        <w:br/>
        <w:t>Met geglazuurde penseelstreken toont Michael Triegel in harmonieuze blauw- en groentinten sfeervolle momentopnamen van Zwitserse bergen, Engelse parken of van het platteland in Italië. Zijn met waterverf geschilderde landschappen zijn een opzettelijke voortzetting van een artistieke traditie die gaat van Dürer's precieze observatie van de natuur tot Turner's atmosferische lichtstudies en Caspar David Friedrich's romantische sublimering van de natuur. De ontwerpprincipes van zijn aquarellen vindt men terug in zijn schilderijen en in de gereduceerde esthetiek van zijn etsen.</w:t>
      </w:r>
      <w:r>
        <w:rPr>
          <w:color w:val="000000"/>
        </w:rPr>
        <w:br/>
      </w:r>
      <w:r>
        <w:rPr>
          <w:color w:val="000000"/>
        </w:rPr>
        <w:br/>
      </w:r>
      <w:r>
        <w:rPr>
          <w:color w:val="000000"/>
        </w:rPr>
        <w:br/>
      </w:r>
      <w:r>
        <w:rPr>
          <w:b/>
          <w:bCs/>
          <w:color w:val="000000"/>
        </w:rPr>
        <w:t>De erfenis van de Renaissance</w:t>
      </w:r>
      <w:r>
        <w:rPr>
          <w:color w:val="000000"/>
        </w:rPr>
        <w:br/>
        <w:t>Michael Triegel werd in 1968 in Erfurt geboren en groeide op in de DDR, waar kunst en literatuur een intellectuele tegenpool vormden voor de staatsideologie. Na de val van de Berlijnse Muur reisd hij naar Italië en komt voor de eerste keer in aanraking met de meesterwerken van de Renaissance, het Maniërisme en de Barok, die een diepe indruk achterlaten.</w:t>
      </w:r>
    </w:p>
    <w:p w14:paraId="2E770557" w14:textId="2BDFA627" w:rsidR="00AF2F58" w:rsidRDefault="0033226B" w:rsidP="0033226B">
      <w:pPr>
        <w:pStyle w:val="StandardWeb"/>
        <w:rPr>
          <w:color w:val="000000"/>
        </w:rPr>
      </w:pPr>
      <w:r>
        <w:rPr>
          <w:color w:val="000000"/>
        </w:rPr>
        <w:t>Geïnspireerd door Caravaggio's clair-obscur (licht- en schaduwschilderkunst) en de complexe figuurcomposities van de Italianen, gaat Triegel bewust een dialoog aan met de grote meesters: zelfbewust en eerbietig neem hij composities van Rafaël, Bellini en Leonardo da Vinci over en gaat vervolgens de confrontatie aan met de paragone (historische competitie van de kunsten). Zijn</w:t>
      </w:r>
      <w:r>
        <w:rPr>
          <w:rStyle w:val="apple-converted-space"/>
          <w:rFonts w:eastAsiaTheme="majorEastAsia"/>
          <w:color w:val="000000"/>
        </w:rPr>
        <w:t> </w:t>
      </w:r>
      <w:r>
        <w:rPr>
          <w:rStyle w:val="Hervorhebung"/>
          <w:rFonts w:eastAsiaTheme="majorEastAsia"/>
          <w:color w:val="000000"/>
        </w:rPr>
        <w:t>Graflegging van Christus</w:t>
      </w:r>
      <w:r>
        <w:rPr>
          <w:color w:val="000000"/>
        </w:rPr>
        <w:t>, bijvoorbeeld, verwijst naar Jacopo da Pontormo en Piero della Francesca - en toch is Triegels kunst meer dan een hommage: zijn werken blijven altijd vol ambivalentie en open vragen.</w:t>
      </w:r>
      <w:r>
        <w:rPr>
          <w:color w:val="000000"/>
        </w:rPr>
        <w:br/>
      </w:r>
      <w:r>
        <w:rPr>
          <w:color w:val="000000"/>
        </w:rPr>
        <w:br/>
      </w:r>
      <w:r>
        <w:rPr>
          <w:b/>
          <w:bCs/>
          <w:color w:val="000000"/>
        </w:rPr>
        <w:t>Het vertrouwde opnieuw zien</w:t>
      </w:r>
      <w:r>
        <w:rPr>
          <w:color w:val="000000"/>
        </w:rPr>
        <w:br/>
        <w:t>Triegels kennismaking met Italiaanse kunst leid tot intensieve studies van de Europese kunstgeschiedenis. De kunstenaar, die niet religieus opgroeide, is vooral geïnteresseerd in thema's die tot het tijdperk van de Verlichting overwegend religieus waren; ze brengen hem tot een diepgaand onderzoek naar christelijke overtuigingen. In zijn eigen werken probeert Triegel traditionele onderwerpen uit het Nieuwe Testament, zoals de Annunciatie, Bewening of Kruisiging, nieuw leven in te blazen en opnieuw te interpreteren. Het zijn de resultaten van een zeer persoonlijk engagement met de theologische interpretatie van bijbelse gebeurtenissen, die ons irriteren en verontrusten en toch vertrouwd overkomen.</w:t>
      </w:r>
      <w:r>
        <w:rPr>
          <w:color w:val="000000"/>
        </w:rPr>
        <w:br/>
      </w:r>
      <w:r>
        <w:rPr>
          <w:color w:val="000000"/>
        </w:rPr>
        <w:br/>
      </w:r>
      <w:r>
        <w:rPr>
          <w:b/>
          <w:bCs/>
          <w:color w:val="000000"/>
        </w:rPr>
        <w:t>Heiligen en mensen</w:t>
      </w:r>
      <w:r>
        <w:rPr>
          <w:color w:val="000000"/>
        </w:rPr>
        <w:br/>
        <w:t>Sinds 2004 heeft Triegel zes belangrijke altaarstukken gemaakt, waaronder de altaarstukken voor de kerk van Dettelbach en de kathedraal van Naumburg. Met het Opstandingsraam (2023) gaat hij de uitdagingen van het glasschilderen aan.</w:t>
      </w:r>
      <w:r>
        <w:rPr>
          <w:rStyle w:val="apple-converted-space"/>
          <w:rFonts w:eastAsiaTheme="majorEastAsia"/>
          <w:color w:val="000000"/>
        </w:rPr>
        <w:t> </w:t>
      </w:r>
      <w:r>
        <w:rPr>
          <w:color w:val="000000"/>
        </w:rPr>
        <w:br/>
        <w:t>Daarbij streeft Triegel altijd het doel na om nieuwe kunst te creëren die gericht is op de eigentijdse realiteit. Zijn figuren breken uit geïdealiseerde voorstellingspatronen en vertonen individualiteit. Christus werd meerdere keren gemodelleerd naar dezelfde mannelijke model; Eva weerspiegelt het vrouwelijke model van de Annunciatie.</w:t>
      </w:r>
      <w:r>
        <w:rPr>
          <w:color w:val="000000"/>
        </w:rPr>
        <w:br/>
        <w:t>Voor Triegel betekent portretschilderen meer dan alleen representatie. Indrukwekkend eenvoudig is zijn portret van de abdis van Helfta terwijl hij paus Benedictus XVI als een geleerde toont die getekend is door ouderdom; tegelijkertijd staat dit portret bewust in de traditie van Rafaël en Titiaan. Triegels eigen gezicht dient hem ook als model en is een middel om zichzelf te ondervragen.</w:t>
      </w:r>
      <w:r>
        <w:rPr>
          <w:color w:val="000000"/>
        </w:rPr>
        <w:br/>
      </w:r>
      <w:r>
        <w:rPr>
          <w:color w:val="000000"/>
        </w:rPr>
        <w:br/>
      </w:r>
    </w:p>
    <w:p w14:paraId="488D68AD" w14:textId="26087B83" w:rsidR="0033226B" w:rsidRDefault="0033226B" w:rsidP="0033226B">
      <w:pPr>
        <w:pStyle w:val="StandardWeb"/>
        <w:rPr>
          <w:color w:val="000000"/>
        </w:rPr>
      </w:pPr>
      <w:r>
        <w:rPr>
          <w:rStyle w:val="Fett"/>
          <w:rFonts w:eastAsiaTheme="majorEastAsia"/>
          <w:color w:val="000000"/>
        </w:rPr>
        <w:lastRenderedPageBreak/>
        <w:t>Tussen twijfel en levende traditie</w:t>
      </w:r>
    </w:p>
    <w:p w14:paraId="73F58C70" w14:textId="2EDCA14C" w:rsidR="0033226B" w:rsidRDefault="0033226B" w:rsidP="0033226B">
      <w:pPr>
        <w:pStyle w:val="StandardWeb"/>
        <w:rPr>
          <w:color w:val="000000"/>
        </w:rPr>
      </w:pPr>
      <w:r>
        <w:rPr>
          <w:color w:val="000000"/>
        </w:rPr>
        <w:t>Door het artistieke engagement met het christendom bekeerde Triegel tot het katholieke geloof en werd hij op 45-jarige leeftijd gedoopt.</w:t>
      </w:r>
      <w:r>
        <w:rPr>
          <w:rStyle w:val="apple-converted-space"/>
          <w:rFonts w:eastAsiaTheme="majorEastAsia"/>
          <w:color w:val="000000"/>
        </w:rPr>
        <w:t> </w:t>
      </w:r>
      <w:r>
        <w:rPr>
          <w:rStyle w:val="Hervorhebung"/>
          <w:rFonts w:eastAsiaTheme="majorEastAsia"/>
          <w:color w:val="000000"/>
        </w:rPr>
        <w:t>Deus Absconditus</w:t>
      </w:r>
      <w:r>
        <w:rPr>
          <w:rStyle w:val="apple-converted-space"/>
          <w:rFonts w:eastAsiaTheme="majorEastAsia"/>
          <w:color w:val="000000"/>
        </w:rPr>
        <w:t> </w:t>
      </w:r>
      <w:r>
        <w:rPr>
          <w:color w:val="000000"/>
        </w:rPr>
        <w:t>(de afwezige God) thematiseert de angst om ver van God te zijn, de worsteling met het geloof en de verandering in religieuze beeldtradities. Waar is God? Waar zijn de gelovigen die naar hem op zoek zijn?</w:t>
      </w:r>
    </w:p>
    <w:p w14:paraId="2E198B7E" w14:textId="64A33DB1" w:rsidR="0033226B" w:rsidRDefault="0033226B" w:rsidP="0033226B">
      <w:pPr>
        <w:pStyle w:val="StandardWeb"/>
        <w:rPr>
          <w:color w:val="000000"/>
        </w:rPr>
      </w:pPr>
      <w:r>
        <w:rPr>
          <w:color w:val="000000"/>
        </w:rPr>
        <w:t>Zijn meest recente serie werken over de Goede Vrijdag processie op Procida</w:t>
      </w:r>
      <w:r w:rsidR="00AD7288">
        <w:rPr>
          <w:color w:val="000000"/>
        </w:rPr>
        <w:t xml:space="preserve"> (Italië)</w:t>
      </w:r>
      <w:r>
        <w:rPr>
          <w:color w:val="000000"/>
        </w:rPr>
        <w:t xml:space="preserve"> laat daarentegen een levend geloof zien waarin het heilige en het alledaagse door elkaar lopen. De kappen van de broederschap van Turchini verbergen gewone mannen en jongens voor wie het religieuze ritueel deel uitmaakt van het dagelijkse leven - voor Triegel een “</w:t>
      </w:r>
      <w:r>
        <w:rPr>
          <w:i/>
          <w:iCs/>
          <w:color w:val="000000"/>
        </w:rPr>
        <w:t>fascinerende combinatie waarin heidense culten door de katholieke vorm heen schijnen, waarvan de riten niet alleen intellectueel weerspiegelde symbolische handelingen zijn, maar krachtige, kleurrijke realiteiten van het leven.”</w:t>
      </w:r>
    </w:p>
    <w:p w14:paraId="25091C58" w14:textId="3DF60088" w:rsidR="0033226B" w:rsidRDefault="0033226B" w:rsidP="0033226B">
      <w:pPr>
        <w:pStyle w:val="StandardWeb"/>
        <w:rPr>
          <w:color w:val="000000"/>
        </w:rPr>
      </w:pPr>
      <w:bookmarkStart w:id="0" w:name="_GoBack"/>
      <w:bookmarkEnd w:id="0"/>
      <w:r>
        <w:rPr>
          <w:b/>
          <w:bCs/>
          <w:color w:val="000000"/>
        </w:rPr>
        <w:t>Van zichtbaar naar onzichtbaar</w:t>
      </w:r>
      <w:r>
        <w:rPr>
          <w:color w:val="000000"/>
        </w:rPr>
        <w:br/>
        <w:t>Net als in een</w:t>
      </w:r>
      <w:r>
        <w:rPr>
          <w:rStyle w:val="apple-converted-space"/>
          <w:rFonts w:eastAsiaTheme="majorEastAsia"/>
          <w:color w:val="000000"/>
        </w:rPr>
        <w:t> </w:t>
      </w:r>
      <w:r>
        <w:rPr>
          <w:i/>
          <w:iCs/>
          <w:color w:val="000000"/>
        </w:rPr>
        <w:t>tabula combinatoria</w:t>
      </w:r>
      <w:r>
        <w:rPr>
          <w:rStyle w:val="apple-converted-space"/>
          <w:rFonts w:eastAsiaTheme="majorEastAsia"/>
          <w:color w:val="000000"/>
        </w:rPr>
        <w:t> </w:t>
      </w:r>
      <w:r>
        <w:rPr>
          <w:color w:val="000000"/>
        </w:rPr>
        <w:t>(combinatietafel) voelt Michael Triegel zich aangetrokken tot het combineren van schijnbaar ongerelateerde objecten en symbolen in zijn werken om nieuwe, verrassende betekenissen te creëren. Voor hem wordt schilderen een intellectueel spel waarbij de inhoud verder wijst dan het zichtbare.</w:t>
      </w:r>
      <w:r>
        <w:rPr>
          <w:color w:val="000000"/>
        </w:rPr>
        <w:br/>
      </w:r>
      <w:r w:rsidR="00AD7288">
        <w:rPr>
          <w:color w:val="000000"/>
        </w:rPr>
        <w:t>Niets</w:t>
      </w:r>
      <w:r>
        <w:rPr>
          <w:color w:val="000000"/>
        </w:rPr>
        <w:t xml:space="preserve"> illustreert dit zo geconcentreerd als zijn stillevens: Een bloem wordt een geraffineerde interpretatie van het christelijke verlossingsplan, een gevild lam verwijst naar de offerdood van Christus. In </w:t>
      </w:r>
      <w:r w:rsidR="00AD7288">
        <w:rPr>
          <w:color w:val="000000"/>
        </w:rPr>
        <w:t>Triegels</w:t>
      </w:r>
      <w:r>
        <w:rPr>
          <w:color w:val="000000"/>
        </w:rPr>
        <w:t xml:space="preserve"> voorstelling van het Laatste Oordeel troont een kind als rechter van de wereld; in de Kruisiging verschijnt het als een stilleven aan de voeten van de Verlosser. </w:t>
      </w:r>
      <w:r w:rsidR="00AD7288">
        <w:rPr>
          <w:color w:val="000000"/>
        </w:rPr>
        <w:t>Triegels schilderijen</w:t>
      </w:r>
      <w:r>
        <w:rPr>
          <w:color w:val="000000"/>
        </w:rPr>
        <w:t xml:space="preserve"> </w:t>
      </w:r>
      <w:r w:rsidR="00AD7288">
        <w:rPr>
          <w:color w:val="000000"/>
        </w:rPr>
        <w:t>zijn</w:t>
      </w:r>
      <w:r>
        <w:rPr>
          <w:color w:val="000000"/>
        </w:rPr>
        <w:t xml:space="preserve"> voor de kijker </w:t>
      </w:r>
      <w:r w:rsidR="00AD7288">
        <w:rPr>
          <w:color w:val="000000"/>
        </w:rPr>
        <w:t xml:space="preserve">een openbaring van kennis </w:t>
      </w:r>
      <w:r>
        <w:rPr>
          <w:color w:val="000000"/>
        </w:rPr>
        <w:t xml:space="preserve">waarin diepere betekenissen zich ontvouwen </w:t>
      </w:r>
      <w:r w:rsidR="00AD7288">
        <w:rPr>
          <w:color w:val="000000"/>
        </w:rPr>
        <w:t xml:space="preserve">die </w:t>
      </w:r>
      <w:r>
        <w:rPr>
          <w:color w:val="000000"/>
        </w:rPr>
        <w:t>het zichtbare</w:t>
      </w:r>
      <w:r w:rsidR="00AD7288">
        <w:rPr>
          <w:color w:val="000000"/>
        </w:rPr>
        <w:t xml:space="preserve"> achter zich laten</w:t>
      </w:r>
      <w:r>
        <w:rPr>
          <w:color w:val="000000"/>
        </w:rPr>
        <w:t xml:space="preserve">. Tegelijkertijd maken Triegels uitmuntende schildertechniek en de onmiskenbare verwijzingen naar meesters als Dürer of Zurbarán </w:t>
      </w:r>
      <w:r w:rsidR="00AD7288">
        <w:rPr>
          <w:color w:val="000000"/>
        </w:rPr>
        <w:t>ook</w:t>
      </w:r>
      <w:r>
        <w:rPr>
          <w:color w:val="000000"/>
        </w:rPr>
        <w:t xml:space="preserve"> de pure visuele ervaring tot een genot.</w:t>
      </w:r>
    </w:p>
    <w:p w14:paraId="1AEC6FF6" w14:textId="77777777" w:rsidR="0033226B" w:rsidRDefault="0033226B"/>
    <w:sectPr w:rsidR="00332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6B"/>
    <w:rsid w:val="0033226B"/>
    <w:rsid w:val="00706047"/>
    <w:rsid w:val="00AD7288"/>
    <w:rsid w:val="00AF2F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825B"/>
  <w15:chartTrackingRefBased/>
  <w15:docId w15:val="{3F792FDD-17C5-BE40-A7CC-390EF953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22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322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3226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3226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3226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3226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226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226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226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226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3226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3226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3226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3226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322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22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22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226B"/>
    <w:rPr>
      <w:rFonts w:eastAsiaTheme="majorEastAsia" w:cstheme="majorBidi"/>
      <w:color w:val="272727" w:themeColor="text1" w:themeTint="D8"/>
    </w:rPr>
  </w:style>
  <w:style w:type="paragraph" w:styleId="Titel">
    <w:name w:val="Title"/>
    <w:basedOn w:val="Standard"/>
    <w:next w:val="Standard"/>
    <w:link w:val="TitelZchn"/>
    <w:uiPriority w:val="10"/>
    <w:qFormat/>
    <w:rsid w:val="003322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22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226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22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226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226B"/>
    <w:rPr>
      <w:i/>
      <w:iCs/>
      <w:color w:val="404040" w:themeColor="text1" w:themeTint="BF"/>
    </w:rPr>
  </w:style>
  <w:style w:type="paragraph" w:styleId="Listenabsatz">
    <w:name w:val="List Paragraph"/>
    <w:basedOn w:val="Standard"/>
    <w:uiPriority w:val="34"/>
    <w:qFormat/>
    <w:rsid w:val="0033226B"/>
    <w:pPr>
      <w:ind w:left="720"/>
      <w:contextualSpacing/>
    </w:pPr>
  </w:style>
  <w:style w:type="character" w:styleId="IntensiveHervorhebung">
    <w:name w:val="Intense Emphasis"/>
    <w:basedOn w:val="Absatz-Standardschriftart"/>
    <w:uiPriority w:val="21"/>
    <w:qFormat/>
    <w:rsid w:val="0033226B"/>
    <w:rPr>
      <w:i/>
      <w:iCs/>
      <w:color w:val="0F4761" w:themeColor="accent1" w:themeShade="BF"/>
    </w:rPr>
  </w:style>
  <w:style w:type="paragraph" w:styleId="IntensivesZitat">
    <w:name w:val="Intense Quote"/>
    <w:basedOn w:val="Standard"/>
    <w:next w:val="Standard"/>
    <w:link w:val="IntensivesZitatZchn"/>
    <w:uiPriority w:val="30"/>
    <w:qFormat/>
    <w:rsid w:val="00332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3226B"/>
    <w:rPr>
      <w:i/>
      <w:iCs/>
      <w:color w:val="0F4761" w:themeColor="accent1" w:themeShade="BF"/>
    </w:rPr>
  </w:style>
  <w:style w:type="character" w:styleId="IntensiverVerweis">
    <w:name w:val="Intense Reference"/>
    <w:basedOn w:val="Absatz-Standardschriftart"/>
    <w:uiPriority w:val="32"/>
    <w:qFormat/>
    <w:rsid w:val="0033226B"/>
    <w:rPr>
      <w:b/>
      <w:bCs/>
      <w:smallCaps/>
      <w:color w:val="0F4761" w:themeColor="accent1" w:themeShade="BF"/>
      <w:spacing w:val="5"/>
    </w:rPr>
  </w:style>
  <w:style w:type="paragraph" w:styleId="StandardWeb">
    <w:name w:val="Normal (Web)"/>
    <w:basedOn w:val="Standard"/>
    <w:uiPriority w:val="99"/>
    <w:semiHidden/>
    <w:unhideWhenUsed/>
    <w:rsid w:val="0033226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Absatz-Standardschriftart"/>
    <w:rsid w:val="0033226B"/>
  </w:style>
  <w:style w:type="character" w:styleId="Hervorhebung">
    <w:name w:val="Emphasis"/>
    <w:basedOn w:val="Absatz-Standardschriftart"/>
    <w:uiPriority w:val="20"/>
    <w:qFormat/>
    <w:rsid w:val="0033226B"/>
    <w:rPr>
      <w:i/>
      <w:iCs/>
    </w:rPr>
  </w:style>
  <w:style w:type="character" w:styleId="Fett">
    <w:name w:val="Strong"/>
    <w:basedOn w:val="Absatz-Standardschriftart"/>
    <w:uiPriority w:val="22"/>
    <w:qFormat/>
    <w:rsid w:val="00332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4591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Till-Holger Borchert</dc:creator>
  <cp:keywords/>
  <dc:description/>
  <cp:lastModifiedBy>Birth, Wibke</cp:lastModifiedBy>
  <cp:revision>2</cp:revision>
  <dcterms:created xsi:type="dcterms:W3CDTF">2025-03-05T08:12:00Z</dcterms:created>
  <dcterms:modified xsi:type="dcterms:W3CDTF">2025-03-05T08:12:00Z</dcterms:modified>
</cp:coreProperties>
</file>